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5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52"/>
              </w:tabs>
              <w:wordWrap/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b w:val="0"/>
                <w:lang w:eastAsia="zh-CN"/>
              </w:rPr>
            </w:pPr>
            <w:bookmarkStart w:id="0" w:name="紧急份号"/>
            <w:bookmarkEnd w:id="0"/>
            <w:r>
              <w:rPr>
                <w:rFonts w:hint="eastAsia" w:ascii="方正黑体_GBK" w:hAnsi="方正黑体_GBK" w:eastAsia="方正黑体_GBK"/>
                <w:b w:val="0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  <w:bookmarkStart w:id="1" w:name="紧急书签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both"/>
              <w:rPr>
                <w:rFonts w:hint="eastAsia" w:ascii="方正黑体_GBK" w:hAnsi="方正黑体_GBK" w:eastAsia="方正黑体_GBK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  <w:jc w:val="center"/>
          <w:hidden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900" w:lineRule="exact"/>
              <w:ind w:left="0" w:leftChars="0" w:right="0" w:firstLine="0" w:firstLineChars="0"/>
              <w:jc w:val="distribute"/>
              <w:textAlignment w:val="baseline"/>
              <w:outlineLvl w:val="9"/>
              <w:rPr>
                <w:rFonts w:hint="eastAsia" w:ascii="方正小标宋_GBK" w:eastAsia="方正小标宋_GBK"/>
                <w:color w:val="FF0000"/>
                <w:sz w:val="84"/>
              </w:rPr>
            </w:pPr>
            <w:r>
              <w:rPr>
                <w:rFonts w:hint="eastAsia" w:ascii="方正小标宋_GBK" w:hAnsi="方正小标宋_GBK" w:eastAsia="方正小标宋_GBK"/>
                <w:b w:val="0"/>
                <w:vanish/>
                <w:color w:val="EB410C"/>
                <w:spacing w:val="0"/>
                <w:w w:val="96"/>
                <w:kern w:val="2"/>
                <w:sz w:val="84"/>
                <w:lang w:val="en-US" w:eastAsia="zh-CN"/>
              </w:rPr>
              <w:t>重庆市电机工程学会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color w:val="FF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sz w:val="21"/>
              </w:rPr>
            </w:pPr>
            <w:r>
              <w:rPr>
                <w:rFonts w:ascii="仿宋_GB2312"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139065</wp:posOffset>
                      </wp:positionV>
                      <wp:extent cx="561530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30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EB410C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pt;margin-top:10.95pt;height:0.05pt;width:442.15pt;mso-position-vertical-relative:page;z-index:251658240;mso-width-relative:page;mso-height-relative:page;" filled="f" stroked="t" coordsize="21600,21600" o:gfxdata="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BfBrVAAAABwEA&#10;AA8AAAAAAAAAAQAgAAAAIgAAAGRycy9kb3ducmV2LnhtbFBLAQIUABQAAAAIAIdO4kDVMKeO5AEA&#10;AKcDAAAOAAAAAAAAAAEAIAAAACQBAABkcnMvZTJvRG9jLnhtbFBLBQYAAAAABgAGAFkBAAB6BQAA&#10;AAA=&#10;">
                      <v:fill on="f" focussize="0,0"/>
                      <v:stroke weight="1.25pt" color="#EB410C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仿宋_GB2312"/>
                <w:b/>
                <w:sz w:val="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关于</w:t>
            </w:r>
            <w:r>
              <w:rPr>
                <w:rFonts w:hint="eastAsia"/>
                <w:sz w:val="44"/>
                <w:szCs w:val="44"/>
                <w:lang w:eastAsia="zh-CN"/>
              </w:rPr>
              <w:t>重庆市电机工程学会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202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年学术年会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br w:type="textWrapping"/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征文的通知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方正仿宋_GBK"/>
              </w:rPr>
            </w:pPr>
            <w:r>
              <w:rPr>
                <w:rFonts w:hint="eastAsia"/>
                <w:lang w:eastAsia="zh-CN"/>
              </w:rPr>
              <w:t>各会员、专委会</w:t>
            </w:r>
            <w:r>
              <w:rPr>
                <w:rFonts w:hint="eastAsia" w:ascii="方正仿宋_GBK" w:hAnsi="方正仿宋_GBK" w:eastAsia="方正仿宋_GBK"/>
                <w:lang w:eastAsia="zh-CN"/>
              </w:rPr>
              <w:t>：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重庆市电机</w:t>
      </w:r>
      <w:r>
        <w:rPr>
          <w:rFonts w:hint="eastAsia"/>
          <w:lang w:val="en-US" w:eastAsia="zh-CN"/>
        </w:rPr>
        <w:t>工程</w:t>
      </w:r>
      <w:r>
        <w:rPr>
          <w:rFonts w:hint="eastAsia"/>
        </w:rPr>
        <w:t>学会202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学术年会计划</w:t>
      </w:r>
      <w:r>
        <w:rPr>
          <w:rFonts w:hint="eastAsia"/>
          <w:lang w:val="en-US" w:eastAsia="zh-CN"/>
        </w:rPr>
        <w:t>于2022年上半年</w:t>
      </w:r>
      <w:r>
        <w:rPr>
          <w:rFonts w:hint="eastAsia"/>
        </w:rPr>
        <w:t>召开。会议以“</w:t>
      </w:r>
      <w:r>
        <w:rPr>
          <w:rFonts w:hint="eastAsia"/>
          <w:lang w:eastAsia="zh-CN"/>
        </w:rPr>
        <w:t>‘碳达峰</w:t>
      </w:r>
      <w:r>
        <w:rPr>
          <w:rFonts w:hint="eastAsia"/>
          <w:lang w:val="en-US" w:eastAsia="zh-CN"/>
        </w:rPr>
        <w:t xml:space="preserve"> 碳中和’背景下的</w:t>
      </w:r>
      <w:r>
        <w:rPr>
          <w:rFonts w:hint="eastAsia"/>
          <w:lang w:eastAsia="zh-CN"/>
        </w:rPr>
        <w:t>新型电力系统建设</w:t>
      </w:r>
      <w:r>
        <w:rPr>
          <w:rFonts w:hint="eastAsia"/>
        </w:rPr>
        <w:t>”为主题，开展主旨报告、专题研讨、论文交流、优秀表彰、成果展示等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。征文内容涵盖能源电力各相关领域。</w:t>
      </w:r>
      <w:r>
        <w:rPr>
          <w:rFonts w:hint="eastAsia"/>
          <w:lang w:val="en-US" w:eastAsia="zh-CN"/>
        </w:rPr>
        <w:t xml:space="preserve">    </w:t>
      </w:r>
      <w:bookmarkStart w:id="2" w:name="BodyStart"/>
      <w:bookmarkEnd w:id="2"/>
    </w:p>
    <w:p>
      <w:pPr>
        <w:pStyle w:val="3"/>
        <w:bidi w:val="0"/>
        <w:rPr>
          <w:rFonts w:hint="eastAsia"/>
          <w:lang w:val="en-US" w:eastAsia="zh-CN"/>
        </w:rPr>
      </w:pPr>
      <w:bookmarkStart w:id="3" w:name="BodyEnd"/>
      <w:bookmarkEnd w:id="3"/>
      <w:r>
        <w:rPr>
          <w:rFonts w:hint="eastAsia"/>
          <w:lang w:val="en-US" w:eastAsia="zh-CN"/>
        </w:rPr>
        <w:t>一、征文范围（包括但不限于）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（一）电工理论与新技术方面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1.低碳与碳中和电工新技术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2.电力工业互联网平台与技术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3.电力装备传感与数字孪生技术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4.电磁场与多物理场耦合计算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5.电力电子与电力变换新技术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6.智能电网电能质量控制新技术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cs="Times New Roman"/>
          <w:szCs w:val="22"/>
          <w:lang w:val="en-US" w:eastAsia="zh-CN"/>
        </w:rPr>
        <w:t>电机</w:t>
      </w:r>
      <w:r>
        <w:rPr>
          <w:rFonts w:hint="eastAsia"/>
          <w:lang w:val="en-US" w:eastAsia="zh-CN"/>
        </w:rPr>
        <w:t>电器方面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聚焦高效电机系统生产制造、技术创新、推广应用和产业服务。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cs="Times New Roman"/>
          <w:szCs w:val="22"/>
          <w:lang w:val="en-US" w:eastAsia="zh-CN"/>
        </w:rPr>
        <w:t>火力发电</w:t>
      </w:r>
      <w:r>
        <w:rPr>
          <w:rFonts w:hint="eastAsia"/>
          <w:lang w:val="en-US" w:eastAsia="zh-CN"/>
        </w:rPr>
        <w:t>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升级改造、灵活性改造、节能减排改造、大流量供热、耦合掺烧、状态检修、智慧电厂、科技兴安。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 w:cs="Times New Roman"/>
          <w:szCs w:val="22"/>
          <w:lang w:val="en-US" w:eastAsia="zh-CN"/>
        </w:rPr>
        <w:t>水力发电</w:t>
      </w:r>
      <w:r>
        <w:rPr>
          <w:rFonts w:hint="eastAsia"/>
          <w:lang w:val="en-US" w:eastAsia="zh-CN"/>
        </w:rPr>
        <w:t>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水电设备管理、优化运行、储能技术研究及应用。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（五）新能源方面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1.新能源发电系统架构（风电、光伏、储能及智能微电网）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2.风电场技改改造升级与提质增效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3.风光储一体化与新能源建设发展、分散式风电发展、电力储能技术的发展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4.“双碳”目标下新能源发展展望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5.“源网荷一体化”及可再生能源发电项目的应用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6.新能源资源分析运用，包括风电风资源分析与运用、光伏光资源分析与运用，新能源“两个细则”分析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7.新能源的运维管理模式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8.新能源技术应用，能源系统的控制、通讯、监控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9.新能源的自主运维与安全管控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10.新能源智慧化应用，无故障新能源场站建设思路及应用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（六）电力环保方面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1.烟气污染物控制：火电厂烟气脱硫、脱硝、除尘系统节能降耗技术研究、运行与维护经验；火电厂二氧化碳减排、资源化利用、监测技术研究与应用。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2.水污染控制：火电厂水污染治理及废水回用技术、装置研究及运行维护经验；脱硫废水零排放技术研究及应用；变电站生活污水治理等。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3.噪声控制：火电电厂噪声污染控制及治理技术；变电站噪声治理等。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4.固体废弃物处理处置：粉煤灰及脱硫石膏综合利用研究与应用；废弃光伏组件、风电叶片回收及资源化利用技术研究与应用等。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5.其他：火电厂环境保护综合管理、污染物控制和减排措施；其他电力相关环保技术研究及应用等。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（七）高电压方面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电压与绝缘配合、高电压试验与测试技术、外绝缘与防灾技术、电气设备绝缘材料、电气设备状态监测与诊断及评估、电气设备物联网技术、能源装备安全与环境适应性、高压电器、多物理场仿真与数字孪生技术、高电压新技术及其应用。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（八）供电方面</w:t>
      </w:r>
    </w:p>
    <w:p>
      <w:pPr>
        <w:widowControl/>
        <w:ind w:firstLine="640" w:firstLineChars="200"/>
        <w:jc w:val="left"/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设备状态监测、状态评估、带电检测、大数据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应用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新能源“可观可测可控”、全景感知、“故障零闪”智慧配电网、计划检修“零停电”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等新技术在输变配专业及设备运维检修管理中的研究及应用，包括资产全寿命周期、智能运检、技术监督、生产工程及技术经济、配电自动化、不停电作业、重大活动保电、可靠性提升、运检信息化等方面的新技术研究及应用。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（九）电力系统自动化方面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“源网荷储”协同互动新技术应用关键问题研究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后补贴时代公司服务新能源消纳关键问题研究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电网数字化转型关键问题研究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电力大数据应用研究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电网应急体系建设及关键技术研究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6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AI赋能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调度控制关键技术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包括但不限于调度机器人助手、电网稳态自适应巡航、基于泛在感知的电网监控事件化技术、基于大数据的设备状态趋势感知等内容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提高计划交易自动化水平关键技术研究，包括但不限于停电计划智能编排与电力交易辅助决策、电力市场运行数据分析等内容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提高运行管理智能化水平关键技术研究，包括但不限于新能源资源分析及预测、电力二次系统一体化运行智能管控等内容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提高电网运行特性认知水平关键技术研究，包括但不限于大电网仿真样本管理与生成、方式计算智能辅助工具箱 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10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提高电网故障防御水平关键技术研究，包括但不限于通信调度的智能监视与运维等内容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11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提高人工智能应用基础支撑能力关键技术研究，包括但不限于电网运行数据预测、挖掘与分析、 新一代自动化系统人工智能支撑技术等内容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12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智能电网技术：智能电网需求响应、智能调度、智能变电站、动态优化与控制、智能家电设备等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13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新能源发电与储能技术：可再生能源发电并网、多种形式能源互联、多能互补系统规划及运行、提高能源效率的新技术和新设计等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14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宋体" w:hAnsi="宋体" w:eastAsia="方正仿宋_GBK" w:cs="宋体"/>
          <w:color w:val="000000"/>
          <w:kern w:val="0"/>
          <w:sz w:val="32"/>
          <w:szCs w:val="32"/>
          <w:highlight w:val="none"/>
        </w:rPr>
        <w:t>新能源消纳：市场环境下可再生能源电力系统的优化运行、鲁棒优化运行、随机模型与风险管理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</w:rPr>
        <w:t>等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新型电力系统网络安全：保障适用于新型电力系统物理信息网络安全关键技术等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（十）能源互联网方面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方正仿宋_GBK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电力企业数字化转型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大云物移智链新技术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研究与应用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电力大数据开放共享与跨界创新应用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网络信息安全及数据安全合规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数字化商业生态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新型数字化基础设施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建设与应用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（十一）用电方面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优化营商环境：分析研究目前电力营商环境中存在的问题，通过提出相应的优化措施，进而提高我国的电力营商环境。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新型电力系统建设：面向新型电力系统建设的需求侧资源利用的工作思路、关键技术、运行管理等方面开展研究。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节能提效：以节能提效为关键抓手，重点在用能方式转变、能效提升、电能替代、负荷资源池建设、增值服务等方面开展研究。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（十二）电力建设方面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新能源并网技术、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输变电工程技术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智能电网建设新技术及应用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装配式设计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三维数字化设计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电力技术经济及应用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电力环境保护技术及应用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电力防灾减灾技术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电力设施岩土工程、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岩土工程勘察技术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测量新技术、新方法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输变电工程水文气象研究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ind w:firstLine="640" w:firstLineChars="200"/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配网自动化设计及建设、智能开闭所设计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eastAsia="zh-CN"/>
        </w:rPr>
        <w:t>等；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（十三）电力安全技术方面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安全生产标准化管理研究、应用和实践；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安全风险管控体系建设研究、应用和实践；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电力企业应急能力建设；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电气火灾综合治理、电力设施的消防新技术和新设备；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大数据、人工智能等新技术在电力安全管理中的应用；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6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电力企业安全文化建设和基层班组安全建设；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7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电力建设、设计、制造和施工中的安全技术；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8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配、电网安全运行技术、安全规划；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电力企业的网络信息安全技术；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10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安全隐患排查治理体系建设研究、应用和实践；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11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交通安全管理和技术；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12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电力企业危化品的综合治理技术；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13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电力企业特种设备安全管理和技术；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14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风电、太阳能等新能源安全技术；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15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水电大坝运行安全技术；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16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电力储能、充电安全技术及其应用；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17</w:t>
      </w:r>
      <w:r>
        <w:rPr>
          <w:rFonts w:hint="eastAsia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其它与电力安全相关的管理和技术。</w:t>
      </w:r>
    </w:p>
    <w:p>
      <w:pPr>
        <w:pStyle w:val="5"/>
        <w:bidi w:val="0"/>
        <w:rPr>
          <w:rFonts w:hint="eastAsia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（十四）电力技术经济方面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碳达峰碳中和目标下的电力转型与能源政策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二、征文要求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1.请严格按照“重庆市电机工程学会2022年学术年会论文模板及说明”（见附件）要求撰写论文。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2.凡已在正式刊物上发表过的论文不再录用，文责由作者自负；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3.请保留涉及论文主要观点图片、曲线和表格，并注明数据来源；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4.本次征文仅接受重庆市电机工程学会会员投稿。非会员可先通过</w:t>
      </w:r>
      <w:r>
        <w:rPr>
          <w:rFonts w:hint="eastAsia" w:cs="Times New Roman"/>
          <w:color w:val="auto"/>
          <w:szCs w:val="22"/>
          <w:highlight w:val="none"/>
          <w:lang w:val="en-US" w:eastAsia="zh-CN"/>
        </w:rPr>
        <w:t>学会网站（cqsee.cn）在线申请成为会员。</w:t>
      </w:r>
    </w:p>
    <w:p>
      <w:pPr>
        <w:pStyle w:val="3"/>
        <w:bidi w:val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三、投稿方式</w:t>
      </w:r>
    </w:p>
    <w:p>
      <w:pPr>
        <w:rPr>
          <w:rFonts w:hint="default" w:eastAsia="方正仿宋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cs="Times New Roman"/>
          <w:color w:val="auto"/>
          <w:szCs w:val="22"/>
          <w:highlight w:val="none"/>
          <w:lang w:val="en-US" w:eastAsia="zh-CN"/>
        </w:rPr>
        <w:t>1.通过学会网站的投稿系统投稿。投稿系统开放时间：2022年3月1日至3月31日。3月31日即征文截止时间。</w:t>
      </w:r>
    </w:p>
    <w:p>
      <w:pPr>
        <w:rPr>
          <w:rFonts w:hint="eastAsia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cs="Times New Roman"/>
          <w:color w:val="auto"/>
          <w:szCs w:val="22"/>
          <w:highlight w:val="none"/>
          <w:lang w:val="en-US" w:eastAsia="zh-CN"/>
        </w:rPr>
        <w:t>2.以会员身份登录网站后，通过点击“学术交流”→“学术年会”→“论文提交”即可进入投稿系统。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3.在线填报过程中可随时点击保存按钮。若因大量论文同时提交导致系统运行缓慢，请大家调整时间，错峰提交。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4.论文提交后，在征文截止前可撤回、修改、重新提交。一篇论文请勿重复提交。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5.每位会员最多可提交3篇不同论文。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</w:t>
      </w:r>
      <w:bookmarkStart w:id="7" w:name="_GoBack"/>
      <w:bookmarkEnd w:id="7"/>
      <w:r>
        <w:rPr>
          <w:rFonts w:hint="eastAsia"/>
          <w:lang w:val="en-US" w:eastAsia="zh-CN"/>
        </w:rPr>
        <w:t>、其他事项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1.论文评审录用后将编入会议论文集。优秀论文将编入《重庆市电机工程学会2021年学术年会论文集》《重庆电力技术专辑》。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2.对于年会评选的优秀论文，学会将根据作者意愿推荐至合作期刊</w:t>
      </w:r>
      <w:r>
        <w:rPr>
          <w:rFonts w:hint="eastAsia"/>
          <w:lang w:val="en-US" w:eastAsia="zh-CN"/>
        </w:rPr>
        <w:t>（《电工技术》（ISSN：1002-1388，CN：50-1072/TM）、《重庆电力高等专科学校学报》（ISSN：1008-8032，CN：50-1039/TK））公开</w:t>
      </w:r>
      <w:r>
        <w:rPr>
          <w:rFonts w:hint="eastAsia"/>
          <w:color w:val="auto"/>
          <w:lang w:val="en-US" w:eastAsia="zh-CN"/>
        </w:rPr>
        <w:t>发表，相关版面费用由学会支付。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重庆市电机工程学会学术部：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罗壬彤　023-63682619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季巧宇　023-63682618  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80" w:leftChars="200" w:hanging="124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/>
          <w:spacing w:val="-6"/>
          <w:lang w:val="en-US" w:eastAsia="zh-CN"/>
        </w:rPr>
        <w:t>重庆市电机工程学会2022年学术年会论文模板及说明</w:t>
      </w:r>
    </w:p>
    <w:tbl>
      <w:tblPr>
        <w:tblStyle w:val="9"/>
        <w:tblW w:w="8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7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tLeast"/>
              <w:ind w:left="0" w:leftChars="0" w:right="0"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/>
                <w:lang w:eastAsia="zh-CN"/>
              </w:rPr>
            </w:pPr>
            <w:bookmarkStart w:id="4" w:name="附件标签"/>
            <w:bookmarkEnd w:id="4"/>
          </w:p>
        </w:tc>
        <w:tc>
          <w:tcPr>
            <w:tcW w:w="724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32"/>
                <w:lang w:val="en-US" w:eastAsia="zh-CN"/>
              </w:rPr>
            </w:pPr>
            <w:bookmarkStart w:id="5" w:name="附件说明"/>
            <w:bookmarkEnd w:id="5"/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1203" w:rightChars="376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r>
        <w:rPr>
          <w:rFonts w:hint="eastAsia"/>
          <w:lang w:eastAsia="zh-CN"/>
        </w:rPr>
        <w:t>重庆市电机工程学会</w:t>
      </w:r>
    </w:p>
    <w:p>
      <w:pPr>
        <w:wordWrap w:val="0"/>
        <w:jc w:val="right"/>
        <w:rPr>
          <w:rFonts w:hint="default"/>
          <w:lang w:val="en-US" w:eastAsia="zh-CN"/>
        </w:rPr>
      </w:pPr>
      <w:bookmarkStart w:id="6" w:name="中文签发日期"/>
      <w:bookmarkEnd w:id="6"/>
      <w:r>
        <w:rPr>
          <w:rFonts w:hint="eastAsia"/>
          <w:lang w:val="en-US" w:eastAsia="zh-CN"/>
        </w:rPr>
        <w:t>2021年12月30日　　　　</w:t>
      </w:r>
    </w:p>
    <w:p>
      <w:pPr>
        <w:jc w:val="right"/>
        <w:rPr>
          <w:rFonts w:hint="eastAsia" w:ascii="方正仿宋_GBK" w:hAnsi="方正仿宋_GBK" w:eastAsia="方正仿宋_GBK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/>
          <w:lang w:eastAsia="zh-CN"/>
        </w:rPr>
        <w:t>　　　</w:t>
      </w:r>
    </w:p>
    <w:p>
      <w:pPr>
        <w:pStyle w:val="4"/>
        <w:rPr>
          <w:rFonts w:hint="eastAsia"/>
          <w:lang w:eastAsia="zh-CN"/>
        </w:rPr>
        <w:sectPr>
          <w:headerReference r:id="rId3" w:type="default"/>
          <w:footerReference r:id="rId4" w:type="default"/>
          <w:type w:val="oddPage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rPr>
          <w:rFonts w:hint="eastAsia" w:cs="Times New Roman"/>
          <w:color w:val="auto"/>
          <w:szCs w:val="2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重庆市电机工程学会2022年学术年会论文模板及说明</w:t>
      </w:r>
    </w:p>
    <w:p>
      <w:pPr>
        <w:pStyle w:val="2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-2147483648" w:beforeAutospacing="0" w:after="0" w:afterLines="-2147483648" w:afterAutospacing="0" w:line="240" w:lineRule="auto"/>
        <w:ind w:firstLine="0" w:firstLineChars="0"/>
        <w:jc w:val="center"/>
        <w:textAlignment w:val="baseline"/>
        <w:rPr>
          <w:rFonts w:hint="eastAsia" w:ascii="Arial" w:hAnsi="Arial" w:eastAsia="黑体" w:cs="Arial"/>
          <w:b/>
          <w:color w:val="000000"/>
          <w:spacing w:val="0"/>
          <w:sz w:val="44"/>
          <w:szCs w:val="20"/>
          <w:lang w:bidi="ar-SA"/>
        </w:rPr>
      </w:pPr>
      <w:r>
        <w:rPr>
          <w:rFonts w:hint="eastAsia" w:ascii="Arial" w:hAnsi="Arial" w:eastAsia="黑体" w:cs="Arial"/>
          <w:b/>
          <w:color w:val="000000"/>
          <w:spacing w:val="0"/>
          <w:sz w:val="44"/>
          <w:szCs w:val="20"/>
          <w:lang w:bidi="ar-SA"/>
        </w:rPr>
        <w:t>□□□□□□论文题目□□□□□□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beforeLines="-2147483648" w:beforeAutospacing="0" w:after="0" w:afterLines="-2147483648" w:afterAutospacing="0" w:line="240" w:lineRule="auto"/>
        <w:ind w:left="0" w:right="0" w:firstLine="0" w:firstLineChars="0"/>
        <w:jc w:val="center"/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lang w:bidi="ar-SA"/>
        </w:rPr>
      </w:pPr>
      <w:r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lang w:bidi="ar-SA"/>
        </w:rPr>
        <w:t>□□作者姓名</w:t>
      </w:r>
      <w:r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vertAlign w:val="superscript"/>
          <w:lang w:val="en-US" w:eastAsia="zh-CN" w:bidi="ar-SA"/>
        </w:rPr>
        <w:t>1</w:t>
      </w:r>
      <w:r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lang w:bidi="ar-SA"/>
        </w:rPr>
        <w:t>，作者姓名</w:t>
      </w:r>
      <w:r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vertAlign w:val="superscript"/>
          <w:lang w:val="en-US" w:eastAsia="zh-CN" w:bidi="ar-SA"/>
        </w:rPr>
        <w:t>2</w:t>
      </w:r>
      <w:r>
        <w:rPr>
          <w:rFonts w:hint="eastAsia" w:ascii="方正小标宋简体" w:hAnsi="Arial" w:eastAsia="仿宋_GB2312" w:cs="Times New Roman"/>
          <w:b/>
          <w:bCs/>
          <w:color w:val="000000"/>
          <w:spacing w:val="0"/>
          <w:sz w:val="28"/>
          <w:szCs w:val="32"/>
          <w:lang w:bidi="ar-SA"/>
        </w:rPr>
        <w:t>□□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6"/>
        <w:jc w:val="center"/>
        <w:rPr>
          <w:rFonts w:hint="eastAsia" w:ascii="Calibri" w:hAnsi="Calibri" w:eastAsia="楷体_GB2312" w:cs="Times New Roman"/>
          <w:color w:val="000000"/>
          <w:sz w:val="21"/>
          <w:lang w:val="en-US" w:eastAsia="zh-CN" w:bidi="ar-SA"/>
        </w:rPr>
      </w:pPr>
      <w:r>
        <w:rPr>
          <w:rFonts w:hint="eastAsia" w:ascii="Calibri" w:hAnsi="Calibri" w:eastAsia="楷体_GB2312" w:cs="Times New Roman"/>
          <w:color w:val="000000"/>
          <w:sz w:val="21"/>
          <w:lang w:val="en-US" w:eastAsia="zh-CN" w:bidi="ar-SA"/>
        </w:rPr>
        <w:t>（1：作者单位，地址 邮编；2：作者单位，地址 邮编）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6"/>
        <w:jc w:val="center"/>
        <w:rPr>
          <w:rFonts w:hint="eastAsia" w:eastAsia="楷体_GB2312"/>
          <w:color w:val="000000"/>
          <w:sz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rPr>
          <w:rFonts w:hint="eastAsia" w:ascii="Calibri" w:hAnsi="Calibri" w:cs="Times New Roman"/>
          <w:b/>
          <w:bCs/>
          <w:color w:val="000000"/>
          <w:sz w:val="24"/>
          <w:lang w:val="en-GB" w:bidi="ar-SA"/>
        </w:rPr>
      </w:pPr>
      <w:r>
        <w:rPr>
          <w:rFonts w:hint="eastAsia" w:ascii="Calibri" w:hAnsi="Calibri" w:cs="Times New Roman"/>
          <w:b/>
          <w:bCs/>
          <w:color w:val="000000"/>
          <w:sz w:val="24"/>
          <w:lang w:val="en-GB" w:bidi="ar-SA"/>
        </w:rPr>
        <w:t>ENGLISH TITLE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rPr>
          <w:rFonts w:hint="eastAsia" w:ascii="Calibri" w:hAnsi="Calibri" w:cs="Times New Roman"/>
          <w:color w:val="000000"/>
          <w:sz w:val="21"/>
          <w:lang w:val="en-US" w:eastAsia="zh-CN" w:bidi="ar-SA"/>
        </w:rPr>
      </w:pPr>
      <w:r>
        <w:rPr>
          <w:rFonts w:hint="eastAsia" w:ascii="Calibri" w:hAnsi="Calibri" w:cs="Times New Roman"/>
          <w:color w:val="000000"/>
          <w:sz w:val="21"/>
          <w:lang w:val="en-GB" w:bidi="ar-SA"/>
        </w:rPr>
        <w:t xml:space="preserve"> NAME Name-name</w:t>
      </w:r>
      <w:r>
        <w:rPr>
          <w:rFonts w:hint="eastAsia" w:ascii="Calibri" w:hAnsi="Calibri" w:cs="Times New Roman"/>
          <w:color w:val="000000"/>
          <w:sz w:val="21"/>
          <w:vertAlign w:val="superscript"/>
          <w:lang w:val="en-US" w:eastAsia="zh-CN" w:bidi="ar-SA"/>
        </w:rPr>
        <w:t>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23" w:afterLines="100" w:line="240" w:lineRule="auto"/>
        <w:ind w:firstLine="0" w:firstLineChars="0"/>
        <w:jc w:val="center"/>
        <w:rPr>
          <w:rFonts w:hint="eastAsia" w:ascii="Calibri" w:hAnsi="Calibri" w:cs="Times New Roman"/>
          <w:lang w:val="en-US" w:eastAsia="zh-CN" w:bidi="ar-SA"/>
        </w:rPr>
      </w:pPr>
      <w:r>
        <w:rPr>
          <w:rFonts w:hint="eastAsia" w:ascii="Calibri" w:hAnsi="Calibri" w:cs="Times New Roman"/>
          <w:lang w:val="en-US" w:eastAsia="zh-CN" w:bidi="ar-SA"/>
        </w:rPr>
        <w:t>(1:Affiliations/Institute,City ; 2:Affiliations/Institute,City)</w:t>
      </w:r>
    </w:p>
    <w:p>
      <w:pPr>
        <w:pStyle w:val="12"/>
        <w:spacing w:line="280" w:lineRule="exact"/>
        <w:ind w:left="0" w:right="4"/>
        <w:rPr>
          <w:rFonts w:hint="eastAsia" w:ascii="楷体_GB2312" w:hAnsi="楷体_GB2312" w:eastAsia="楷体_GB2312" w:cs="楷体_GB2312"/>
          <w:b w:val="0"/>
          <w:bCs w:val="0"/>
          <w:color w:val="000000"/>
          <w:sz w:val="18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22"/>
        </w:rPr>
        <w:t>摘要</w:t>
      </w:r>
      <w:r>
        <w:rPr>
          <w:rFonts w:hint="eastAsia" w:eastAsia="宋体"/>
          <w:b w:val="0"/>
          <w:bCs w:val="0"/>
          <w:color w:val="000000"/>
          <w:sz w:val="18"/>
          <w:szCs w:val="22"/>
          <w:lang w:val="en-GB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18"/>
          <w:szCs w:val="22"/>
        </w:rPr>
        <w:t>（摘要内容：200左右。摘要请采用第三人称写法。摘要应是一篇独立的短文，具有独立性和自含性，即不阅读报告、论文的全文，就能获得必要的信息。摘要中有数据、有结论，是一篇完整的短文，可以独立使用，可以引用，可以用于工艺推广。摘要的内容应包含与论文同等量的主要信息，供读者确定有无必要阅读全文，也供文摘等二次文献采用。摘要内容应包括研究工作目的、实验方法、结果和最终结论等四要素，而重点是结果和结论。）</w:t>
      </w:r>
    </w:p>
    <w:p>
      <w:pPr>
        <w:spacing w:line="240" w:lineRule="auto"/>
        <w:ind w:right="640" w:rightChars="200" w:firstLine="0" w:firstLineChars="0"/>
        <w:rPr>
          <w:rFonts w:hint="eastAsia" w:ascii="Calibri" w:hAnsi="Calibri" w:eastAsia="楷体_GB2312" w:cs="Times New Roman"/>
          <w:spacing w:val="0"/>
          <w:sz w:val="18"/>
          <w:szCs w:val="24"/>
          <w:lang w:bidi="ar-SA"/>
        </w:rPr>
      </w:pPr>
    </w:p>
    <w:p>
      <w:pPr>
        <w:pStyle w:val="12"/>
        <w:spacing w:line="280" w:lineRule="exact"/>
        <w:ind w:left="0" w:right="4"/>
        <w:rPr>
          <w:rFonts w:hint="eastAsia" w:ascii="楷体_GB2312" w:hAnsi="楷体_GB2312" w:eastAsia="楷体_GB2312" w:cs="楷体_GB2312"/>
          <w:b w:val="0"/>
          <w:bCs w:val="0"/>
          <w:color w:val="000000"/>
          <w:sz w:val="18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22"/>
        </w:rPr>
        <w:t>关键词：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18"/>
          <w:szCs w:val="22"/>
        </w:rPr>
        <w:t>（关键词：3</w:t>
      </w:r>
      <w:r>
        <w:rPr>
          <w:rFonts w:hint="eastAsia" w:eastAsia="楷体_GB2312"/>
          <w:sz w:val="18"/>
        </w:rPr>
        <w:t>~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18"/>
          <w:szCs w:val="22"/>
        </w:rPr>
        <w:t>8个。关键词是为了文献标引工作从报告、论文中选取出来用以表示全文主题内容信息款目的单词或术语。如有可能，尽量用《汉语主题词表》等词表提供的规范词。）</w:t>
      </w:r>
    </w:p>
    <w:p>
      <w:pPr>
        <w:pStyle w:val="12"/>
        <w:spacing w:line="280" w:lineRule="exact"/>
        <w:ind w:left="0" w:right="4"/>
        <w:rPr>
          <w:rFonts w:eastAsia="宋体"/>
          <w:b/>
          <w:bCs/>
          <w:color w:val="000000"/>
          <w:sz w:val="18"/>
          <w:lang w:val="en-GB"/>
        </w:rPr>
      </w:pPr>
    </w:p>
    <w:p>
      <w:pPr>
        <w:pStyle w:val="12"/>
        <w:spacing w:line="280" w:lineRule="exact"/>
        <w:ind w:left="0" w:right="4"/>
        <w:rPr>
          <w:rFonts w:hint="eastAsia" w:eastAsia="宋体"/>
          <w:color w:val="000000"/>
          <w:sz w:val="18"/>
        </w:rPr>
      </w:pPr>
      <w:r>
        <w:rPr>
          <w:rFonts w:hint="eastAsia" w:eastAsia="宋体"/>
          <w:b/>
          <w:bCs/>
          <w:color w:val="000000"/>
          <w:sz w:val="18"/>
        </w:rPr>
        <w:t>ABSTRACT: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4"/>
        <w:spacing w:before="161" w:beforeLines="50" w:line="240" w:lineRule="auto"/>
        <w:ind w:right="6" w:firstLine="0" w:firstLineChars="0"/>
        <w:rPr>
          <w:rFonts w:hint="eastAsia" w:eastAsia="宋体"/>
          <w:color w:val="000000"/>
          <w:sz w:val="18"/>
          <w:lang w:val="en-GB"/>
        </w:rPr>
      </w:pPr>
      <w:r>
        <w:rPr>
          <w:rFonts w:hint="eastAsia" w:eastAsia="宋体"/>
          <w:b/>
          <w:bCs/>
          <w:color w:val="000000"/>
          <w:spacing w:val="0"/>
          <w:kern w:val="0"/>
          <w:sz w:val="18"/>
        </w:rPr>
        <w:t>KEY WORD: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□□□□□；□□□□□□；□□□□□□</w:t>
      </w:r>
    </w:p>
    <w:p>
      <w:pPr>
        <w:spacing w:before="159" w:beforeLines="50" w:after="159" w:afterLines="50" w:line="240" w:lineRule="auto"/>
        <w:rPr>
          <w:rFonts w:hint="eastAsia" w:ascii="黑体" w:hAnsi="宋体" w:eastAsia="黑体"/>
          <w:sz w:val="24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439" w:charSpace="0"/>
        </w:sectPr>
      </w:pP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  <w:t>0  引言</w:t>
      </w:r>
    </w:p>
    <w:p>
      <w:pPr>
        <w:tabs>
          <w:tab w:val="left" w:pos="1080"/>
        </w:tabs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（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必赘述。论文的引言可以只用小段文字起着引言的效用。）□□□□□□□□□□□□□□□□。</w:t>
      </w: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  <w:t>1 □□□□一级标题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>1.1 □□□□二级标题</w:t>
      </w:r>
    </w:p>
    <w:p>
      <w:pPr>
        <w:spacing w:line="240" w:lineRule="auto"/>
        <w:ind w:firstLine="0" w:firstLineChars="0"/>
        <w:rPr>
          <w:rFonts w:ascii="Calibri" w:hAnsi="Calibri" w:eastAsia="宋体" w:cs="Times New Roman"/>
          <w:spacing w:val="0"/>
          <w:sz w:val="21"/>
          <w:szCs w:val="21"/>
          <w:lang w:bidi="ar-SA"/>
        </w:rPr>
      </w:pPr>
      <w:r>
        <w:rPr>
          <w:rFonts w:ascii="Calibri" w:hAnsi="Calibri" w:eastAsia="宋体" w:cs="Times New Roman"/>
          <w:spacing w:val="0"/>
          <w:sz w:val="21"/>
          <w:szCs w:val="21"/>
          <w:lang w:bidi="ar-SA"/>
        </w:rPr>
        <w:t>1.1.1 □□□□三级标题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□□□□□□□□□□□□□□□□□□□（论文的正文是核心部分，占主要篇幅，可以包括：调查对象、实验和观测方法、仪器设备、材料原料、实验和观测结果、计算方法和编程原理、数据资料、经过加工整理的图表、形成的论点和导出的结论等。）□□□□□□□□□□□□□□□□□□□□。</w:t>
      </w:r>
    </w:p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spacing w:val="0"/>
          <w:sz w:val="21"/>
          <w:szCs w:val="21"/>
          <w:lang w:bidi="ar-SA"/>
        </w:rPr>
      </w:pPr>
      <w:r>
        <w:rPr>
          <w:rFonts w:ascii="Calibri" w:hAnsi="Calibri" w:eastAsia="宋体" w:cs="Times New Roman"/>
          <w:spacing w:val="0"/>
          <w:sz w:val="21"/>
          <w:szCs w:val="21"/>
          <w:lang w:bidi="ar-SA"/>
        </w:rPr>
        <w:t>1.1.2</w:t>
      </w:r>
      <w:r>
        <w:rPr>
          <w:rFonts w:hint="eastAsia" w:ascii="Calibri" w:hAnsi="Calibri" w:eastAsia="宋体" w:cs="Times New Roman"/>
          <w:spacing w:val="0"/>
          <w:sz w:val="21"/>
          <w:szCs w:val="21"/>
          <w:lang w:bidi="ar-SA"/>
        </w:rPr>
        <w:t xml:space="preserve"> □□□□三级标题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□□□□□□□□□□□□□□□□□□□□□□□□（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bidi="ar-SA"/>
        </w:rPr>
        <w:t>aaaaaa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外文采用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bidi="ar-SA"/>
        </w:rPr>
        <w:t>Times New Roman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字体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bidi="ar-SA"/>
        </w:rPr>
        <w:t>aaaaaaaaa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）□□□□□□□□□□□□□□□□□□。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>1.2 □□□□二级标题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□□□□□□□□□□□□□□□□□□□□□□□□□□□□□□□□□□□□□□□□□□□□□□□□□□□□□□□□□□□□□□□。如图1所示（见图1）。</w:t>
      </w:r>
    </w:p>
    <w:p>
      <w:pPr>
        <w:spacing w:line="240" w:lineRule="auto"/>
        <w:ind w:left="0" w:leftChars="0" w:firstLine="0" w:firstLineChars="0"/>
        <w:jc w:val="left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object>
          <v:shape id="_x0000_i1025" o:spt="75" type="#_x0000_t75" style="height:126.7pt;width:222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7">
            <o:LockedField>false</o:LockedField>
          </o:OLEObject>
        </w:object>
      </w:r>
    </w:p>
    <w:p>
      <w:pPr>
        <w:spacing w:after="159" w:afterLines="50" w:line="240" w:lineRule="auto"/>
        <w:ind w:firstLine="0" w:firstLineChars="0"/>
        <w:jc w:val="center"/>
        <w:rPr>
          <w:rFonts w:hint="eastAsia" w:ascii="黑体" w:hAnsi="黑体" w:eastAsia="黑体" w:cs="Times New Roman"/>
          <w:spacing w:val="0"/>
          <w:sz w:val="18"/>
          <w:szCs w:val="24"/>
          <w:lang w:bidi="ar-SA"/>
        </w:rPr>
      </w:pPr>
      <w:r>
        <w:rPr>
          <w:rFonts w:hint="eastAsia" w:ascii="黑体" w:hAnsi="黑体" w:eastAsia="黑体" w:cs="Times New Roman"/>
          <w:spacing w:val="0"/>
          <w:sz w:val="18"/>
          <w:szCs w:val="24"/>
          <w:lang w:bidi="ar-SA"/>
        </w:rPr>
        <w:t>图1  季度的具体数据情况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>1.3 □□□□二级标题</w:t>
      </w:r>
    </w:p>
    <w:p>
      <w:pPr>
        <w:spacing w:line="24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</w:t>
      </w:r>
      <w:r>
        <w:rPr>
          <w:rFonts w:hint="eastAsia" w:ascii="宋体" w:hAnsi="宋体"/>
          <w:szCs w:val="21"/>
        </w:rPr>
        <w:t>。</w:t>
      </w: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  <w:t>2 □□□□一级标题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 xml:space="preserve">2.1 □□□□二级标题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□□□□□□□□□□□□□□□□□□□□□□□□□□□□□□□□□□。如表1所示。</w:t>
      </w:r>
    </w:p>
    <w:p>
      <w:pPr>
        <w:spacing w:before="159" w:beforeLines="50" w:line="240" w:lineRule="auto"/>
        <w:ind w:firstLine="0" w:firstLineChars="0"/>
        <w:jc w:val="center"/>
        <w:rPr>
          <w:rFonts w:hint="eastAsia" w:ascii="黑体" w:hAnsi="黑体" w:eastAsia="黑体" w:cs="Times New Roman"/>
          <w:spacing w:val="0"/>
          <w:sz w:val="18"/>
          <w:szCs w:val="18"/>
          <w:lang w:bidi="ar-SA"/>
        </w:rPr>
      </w:pPr>
      <w:r>
        <w:rPr>
          <w:rFonts w:hint="eastAsia" w:ascii="黑体" w:hAnsi="黑体" w:eastAsia="黑体" w:cs="Times New Roman"/>
          <w:spacing w:val="0"/>
          <w:sz w:val="18"/>
          <w:szCs w:val="18"/>
          <w:lang w:bidi="ar-SA"/>
        </w:rPr>
        <w:t>表1  BMCR时燃烧器的主要设计参数</w:t>
      </w:r>
    </w:p>
    <w:tbl>
      <w:tblPr>
        <w:tblStyle w:val="9"/>
        <w:tblW w:w="417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单个喷嘴热功率(5台磨运行)/MW</w:t>
            </w:r>
          </w:p>
        </w:tc>
        <w:tc>
          <w:tcPr>
            <w:tcW w:w="6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58.6</w:t>
            </w:r>
          </w:p>
        </w:tc>
        <w:tc>
          <w:tcPr>
            <w:tcW w:w="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5602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一次风率/%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21.6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一次风速/（m·s-1）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25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一次风温/℃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75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</w:pPr>
            <w:r>
              <w:rPr>
                <w:rFonts w:ascii="Calibri" w:hAnsi="Calibri" w:eastAsia="宋体" w:cs="Times New Roman"/>
                <w:spacing w:val="0"/>
                <w:sz w:val="15"/>
                <w:szCs w:val="15"/>
                <w:lang w:bidi="ar-SA"/>
              </w:rPr>
              <w:t>76</w:t>
            </w:r>
          </w:p>
        </w:tc>
      </w:tr>
    </w:tbl>
    <w:p>
      <w:pPr>
        <w:spacing w:line="240" w:lineRule="auto"/>
        <w:ind w:firstLine="0" w:firstLineChars="0"/>
        <w:rPr>
          <w:rFonts w:hint="eastAsia" w:ascii="方正黑体_GBK" w:hAnsi="宋体" w:eastAsia="方正黑体_GBK" w:cs="Times New Roman"/>
          <w:spacing w:val="0"/>
          <w:sz w:val="21"/>
          <w:szCs w:val="21"/>
          <w:lang w:bidi="ar-SA"/>
        </w:rPr>
      </w:pP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 xml:space="preserve">2.2 □□□□二级标题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□□□□□□□□□□□□□□□□□□□□□□□□□□□□□□□□□□□□□□□□□。</w:t>
      </w: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  <w:t>3 □□□□一级标题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 xml:space="preserve">3.1 □□□□二级标题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</w:t>
      </w:r>
      <w:r>
        <w:rPr>
          <w:rFonts w:hint="eastAsia" w:ascii="宋体" w:hAnsi="宋体" w:eastAsia="宋体" w:cs="Times New Roman"/>
          <w:spacing w:val="0"/>
          <w:sz w:val="21"/>
          <w:szCs w:val="21"/>
          <w:vertAlign w:val="superscript"/>
          <w:lang w:bidi="ar-SA"/>
        </w:rPr>
        <w:t>[1]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</w:t>
      </w:r>
      <w:r>
        <w:rPr>
          <w:rFonts w:hint="eastAsia" w:ascii="宋体" w:hAnsi="宋体" w:eastAsia="宋体" w:cs="Times New Roman"/>
          <w:spacing w:val="0"/>
          <w:sz w:val="21"/>
          <w:szCs w:val="21"/>
          <w:vertAlign w:val="superscript"/>
          <w:lang w:bidi="ar-SA"/>
        </w:rPr>
        <w:t>[2]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□□□□□。</w:t>
      </w:r>
    </w:p>
    <w:p>
      <w:pPr>
        <w:spacing w:line="24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□□□□□□□□□□□□□□□□□□□□□□□。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 xml:space="preserve">3.2 □□□□二级标题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</w:t>
      </w:r>
      <w:r>
        <w:rPr>
          <w:rFonts w:hint="eastAsia" w:ascii="宋体" w:hAnsi="宋体" w:eastAsia="宋体" w:cs="Times New Roman"/>
          <w:spacing w:val="0"/>
          <w:sz w:val="21"/>
          <w:szCs w:val="21"/>
          <w:vertAlign w:val="superscript"/>
          <w:lang w:bidi="ar-SA"/>
        </w:rPr>
        <w:t>[3]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□□□□□□□□□□□□□□□□□□□□□□□□□□□□□□</w:t>
      </w:r>
      <w:r>
        <w:rPr>
          <w:rFonts w:hint="eastAsia" w:ascii="宋体" w:hAnsi="宋体" w:eastAsia="宋体" w:cs="Times New Roman"/>
          <w:spacing w:val="0"/>
          <w:sz w:val="21"/>
          <w:szCs w:val="21"/>
          <w:vertAlign w:val="superscript"/>
          <w:lang w:bidi="ar-SA"/>
        </w:rPr>
        <w:t>[4]</w:t>
      </w: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□□□。</w:t>
      </w: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4"/>
          <w:lang w:bidi="ar-SA"/>
        </w:rPr>
        <w:t>□ □□□□一级标题</w:t>
      </w:r>
    </w:p>
    <w:p>
      <w:pPr>
        <w:spacing w:line="240" w:lineRule="auto"/>
        <w:ind w:firstLine="0" w:firstLineChars="0"/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</w:pPr>
      <w:r>
        <w:rPr>
          <w:rFonts w:hint="eastAsia" w:ascii="黑体" w:hAnsi="宋体" w:eastAsia="黑体" w:cs="Times New Roman"/>
          <w:spacing w:val="0"/>
          <w:sz w:val="21"/>
          <w:szCs w:val="21"/>
          <w:lang w:bidi="ar-SA"/>
        </w:rPr>
        <w:t xml:space="preserve">□ □□□□二级标题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spacing w:val="0"/>
          <w:sz w:val="21"/>
          <w:szCs w:val="21"/>
          <w:lang w:bidi="ar-SA"/>
        </w:rPr>
        <w:t>□□□□□□□□□□□□□。</w:t>
      </w:r>
    </w:p>
    <w:p>
      <w:pPr>
        <w:spacing w:before="159" w:beforeLines="50" w:after="159" w:afterLines="50" w:line="240" w:lineRule="auto"/>
        <w:ind w:firstLine="0" w:firstLineChars="0"/>
        <w:rPr>
          <w:rFonts w:hint="eastAsia" w:ascii="黑体" w:hAnsi="宋体" w:eastAsia="黑体" w:cs="Times New Roman"/>
          <w:spacing w:val="0"/>
          <w:sz w:val="24"/>
          <w:szCs w:val="28"/>
          <w:lang w:bidi="ar-SA"/>
        </w:rPr>
      </w:pPr>
      <w:r>
        <w:rPr>
          <w:rFonts w:hint="eastAsia" w:ascii="黑体" w:hAnsi="宋体" w:eastAsia="黑体" w:cs="Times New Roman"/>
          <w:spacing w:val="0"/>
          <w:sz w:val="24"/>
          <w:szCs w:val="28"/>
          <w:lang w:bidi="ar-SA"/>
        </w:rPr>
        <w:t>□ 结论</w:t>
      </w:r>
    </w:p>
    <w:p>
      <w:pPr>
        <w:spacing w:line="240" w:lineRule="auto"/>
        <w:ind w:firstLine="420" w:firstLineChars="200"/>
        <w:rPr>
          <w:rFonts w:hint="eastAsia" w:ascii="宋体" w:hAnsi="Calibri" w:eastAsia="宋体" w:cs="Times New Roman"/>
          <w:spacing w:val="0"/>
          <w:sz w:val="21"/>
          <w:szCs w:val="21"/>
          <w:lang w:bidi="ar-SA"/>
        </w:rPr>
      </w:pPr>
      <w:r>
        <w:rPr>
          <w:rFonts w:hint="eastAsia" w:ascii="宋体" w:hAnsi="Calibri" w:eastAsia="宋体" w:cs="Times New Roman"/>
          <w:spacing w:val="0"/>
          <w:sz w:val="21"/>
          <w:szCs w:val="21"/>
          <w:lang w:bidi="ar-SA"/>
        </w:rPr>
        <w:t>□□□□□（报告、论文的结论是最终的、总体的结论，不是正文中各段的小结的简单重复。结论应该准确、完整、明确、精练。如果不可能导出应有的结论，也可以没有结论而进行必要的讨论。可以在结论或讨论中提出建议、研究设想、仪器设备改进意见、尚待解决的问题等。）□□□□□□□□□□□□。</w:t>
      </w:r>
    </w:p>
    <w:p>
      <w:pPr>
        <w:spacing w:line="240" w:lineRule="auto"/>
        <w:ind w:firstLine="640" w:firstLineChars="200"/>
        <w:rPr>
          <w:rFonts w:hint="eastAsia" w:ascii="宋体"/>
          <w:szCs w:val="21"/>
        </w:rPr>
      </w:pPr>
    </w:p>
    <w:p>
      <w:pPr>
        <w:spacing w:line="240" w:lineRule="auto"/>
        <w:ind w:firstLine="0" w:firstLineChars="0"/>
        <w:rPr>
          <w:rFonts w:hint="eastAsia" w:ascii="黑体" w:hAnsi="Calibri" w:eastAsia="黑体" w:cs="Times New Roman"/>
          <w:spacing w:val="0"/>
          <w:sz w:val="18"/>
          <w:szCs w:val="18"/>
          <w:lang w:bidi="ar-SA"/>
        </w:rPr>
      </w:pPr>
      <w:r>
        <w:rPr>
          <w:rFonts w:hint="eastAsia" w:ascii="黑体" w:hAnsi="Calibri" w:eastAsia="黑体" w:cs="Times New Roman"/>
          <w:spacing w:val="0"/>
          <w:sz w:val="18"/>
          <w:szCs w:val="18"/>
          <w:lang w:bidi="ar-SA"/>
        </w:rPr>
        <w:t>参考文献：（范例：如模板第3段中的文献标识如下</w:t>
      </w:r>
      <w:r>
        <w:rPr>
          <w:rFonts w:hint="eastAsia" w:ascii="黑体" w:hAnsi="Calibri" w:eastAsia="黑体" w:cs="Times New Roman"/>
          <w:spacing w:val="0"/>
          <w:sz w:val="18"/>
          <w:szCs w:val="18"/>
          <w:lang w:eastAsia="zh-CN" w:bidi="ar-SA"/>
        </w:rPr>
        <w:t>；请在正文中采用交叉引用方式插入文献编号，且文献编号需自动生成</w:t>
      </w:r>
      <w:r>
        <w:rPr>
          <w:rFonts w:hint="eastAsia" w:ascii="黑体" w:hAnsi="Calibri" w:eastAsia="黑体" w:cs="Times New Roman"/>
          <w:spacing w:val="0"/>
          <w:sz w:val="18"/>
          <w:szCs w:val="18"/>
          <w:lang w:bidi="ar-SA"/>
        </w:rPr>
        <w:t>）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 xml:space="preserve">[1] 刘国钧,陈绍业. 图书目录[M]. 北京: 高等教育出版社, 1957. 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 xml:space="preserve">[2] 冯西桥. 核反应堆压力管道与压力容器的LBB分析[R]. 北京: 清华大学核能技术设计研究院, 1997. 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[3] 金显贺,王昌长,王忠东,等. 一种用于在线检测局部放电的数字滤波技术[J]. 清华大学学报(自然科学报), 1993,33(4) : 62-67.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[4] 钟文发. 非线规划在可燃毒物配置中的应用[A]. 赵玮.运筹学的理论与应用-中国运筹学会第五届大会论文集[C]. 西安: 西安电子科技大学出版社, 1996 .468-471.</w:t>
      </w:r>
    </w:p>
    <w:p>
      <w:pPr>
        <w:spacing w:line="240" w:lineRule="auto"/>
        <w:ind w:left="0" w:leftChars="0" w:firstLine="0" w:firstLineChars="0"/>
        <w:rPr>
          <w:rFonts w:hint="eastAsia"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>
      <w:pPr>
        <w:spacing w:line="240" w:lineRule="auto"/>
        <w:ind w:firstLine="0" w:firstLineChars="0"/>
        <w:rPr>
          <w:rFonts w:hint="eastAsia" w:ascii="黑体" w:hAnsi="Calibri" w:eastAsia="黑体" w:cs="Times New Roman"/>
          <w:spacing w:val="0"/>
          <w:sz w:val="18"/>
          <w:szCs w:val="18"/>
          <w:lang w:val="en-US" w:eastAsia="zh-CN" w:bidi="ar-SA"/>
        </w:rPr>
      </w:pPr>
      <w:r>
        <w:rPr>
          <w:rFonts w:hint="eastAsia" w:ascii="黑体" w:hAnsi="Calibri" w:eastAsia="黑体" w:cs="Times New Roman"/>
          <w:spacing w:val="0"/>
          <w:sz w:val="18"/>
          <w:szCs w:val="18"/>
          <w:lang w:val="en-US" w:eastAsia="zh-CN" w:bidi="ar-SA"/>
        </w:rPr>
        <w:t>投稿日期：</w:t>
      </w:r>
    </w:p>
    <w:p>
      <w:pPr>
        <w:spacing w:line="240" w:lineRule="auto"/>
        <w:ind w:firstLine="0" w:firstLineChars="0"/>
        <w:rPr>
          <w:rFonts w:hint="eastAsia" w:ascii="黑体" w:hAnsi="Calibri" w:eastAsia="黑体" w:cs="Times New Roman"/>
          <w:spacing w:val="0"/>
          <w:sz w:val="18"/>
          <w:szCs w:val="18"/>
          <w:lang w:bidi="ar-SA"/>
        </w:rPr>
      </w:pPr>
      <w:r>
        <w:rPr>
          <w:rFonts w:hint="eastAsia" w:ascii="黑体" w:hAnsi="Calibri" w:eastAsia="黑体" w:cs="Times New Roman"/>
          <w:spacing w:val="0"/>
          <w:sz w:val="18"/>
          <w:szCs w:val="18"/>
          <w:lang w:bidi="ar-SA"/>
        </w:rPr>
        <w:t>作者简介：</w:t>
      </w:r>
    </w:p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spacing w:val="0"/>
          <w:sz w:val="18"/>
          <w:szCs w:val="24"/>
          <w:lang w:eastAsia="zh-CN"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eastAsia="zh-CN" w:bidi="ar-SA"/>
        </w:rPr>
        <w:t>作者</w:t>
      </w:r>
      <w:r>
        <w:rPr>
          <w:rFonts w:hint="eastAsia" w:ascii="Calibri" w:hAnsi="Calibri" w:eastAsia="宋体" w:cs="Times New Roman"/>
          <w:spacing w:val="0"/>
          <w:sz w:val="18"/>
          <w:szCs w:val="24"/>
          <w:lang w:val="en-US" w:eastAsia="zh-CN" w:bidi="ar-SA"/>
        </w:rPr>
        <w:t>1：</w:t>
      </w:r>
      <w:r>
        <w:rPr>
          <w:rFonts w:hint="eastAsia" w:ascii="Calibri" w:hAnsi="Calibri" w:eastAsia="宋体" w:cs="Times New Roman"/>
          <w:spacing w:val="0"/>
          <w:sz w:val="18"/>
          <w:szCs w:val="24"/>
          <w:lang w:eastAsia="zh-CN" w:bidi="ar-SA"/>
        </w:rPr>
        <w:t>姓  名（出生年.月－），性别*，籍贯**省**市（县）人，职称*****，从事的工作或者研究方向，E-mail：*******。</w:t>
      </w:r>
    </w:p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注：（作者联系方式：联系人，手机，固定电话，电子信箱，通信地址，邮编）</w:t>
      </w:r>
    </w:p>
    <w:p>
      <w:pPr>
        <w:spacing w:line="240" w:lineRule="auto"/>
        <w:ind w:firstLine="0" w:firstLineChars="0"/>
        <w:rPr>
          <w:rFonts w:hint="default" w:ascii="Calibri" w:hAnsi="Calibri" w:eastAsia="宋体" w:cs="Times New Roman"/>
          <w:spacing w:val="0"/>
          <w:sz w:val="18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eastAsia="zh-CN" w:bidi="ar-SA"/>
        </w:rPr>
        <w:t>作者</w:t>
      </w:r>
      <w:r>
        <w:rPr>
          <w:rFonts w:hint="eastAsia" w:ascii="Calibri" w:hAnsi="Calibri" w:eastAsia="宋体" w:cs="Times New Roman"/>
          <w:spacing w:val="0"/>
          <w:sz w:val="18"/>
          <w:szCs w:val="24"/>
          <w:lang w:val="en-US" w:eastAsia="zh-CN" w:bidi="ar-SA"/>
        </w:rPr>
        <w:t>2：</w:t>
      </w:r>
      <w:r>
        <w:rPr>
          <w:rFonts w:hint="eastAsia" w:ascii="Calibri" w:hAnsi="Calibri" w:eastAsia="宋体" w:cs="Times New Roman"/>
          <w:spacing w:val="0"/>
          <w:sz w:val="18"/>
          <w:szCs w:val="24"/>
          <w:lang w:eastAsia="zh-CN" w:bidi="ar-SA"/>
        </w:rPr>
        <w:t>*****</w:t>
      </w: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  <w:r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  <w:t>模板说明：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1.文稿要求：篇幅版面不超过6000字（包括图表所占篇幅）。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2.书写格式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（1）论文采用A4纸写。页边距：上3.2厘米，下、左、右2.0厘米。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（2）字体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大标题：样式为（标题1）、字体为（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黑体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）、字号为二号、段落为“段前6p 段后6p”。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作者名(标题2): 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仿宋_GB2312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(四号) 段后1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p。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地址(样式1): 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宋体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(五号) 段后7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p。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摘要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(样式2)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  <w:t>：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摘要两字用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黑体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, 说明用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宋体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(小五)。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关键词(标题3)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：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关键词三字用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黑体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(小五)，说明用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宋体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 (小五)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段前6p段后10p。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正文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往下改为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双栏排版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  <w:t>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栏间距为6.3毫米。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正文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(正文):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宋体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(五号)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英文字体用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Times New Roman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(五号)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希腊字体为Symbol。图题和表题用小五号黑体，图注和表正文用六号字。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一级标题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(标题4)：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黑体(小四) 段前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3p 段后2p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  <w:t>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二级标题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(标题5)：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黑体(五号) 段前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2.5 段后2.5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  <w:t>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参考文献和作者简介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（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标题6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eastAsia="zh-CN" w:bidi="ar-SA"/>
        </w:rPr>
        <w:t>）：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段前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8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bidi="ar-SA"/>
        </w:rPr>
        <w:t>p 段后2p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GB" w:eastAsia="zh-CN" w:bidi="ar-SA"/>
        </w:rPr>
        <w:t>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黑体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小四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参考文献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内容（图表目录）：参考文献正文用宋体小五。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公式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字号为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五号，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上角字号为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小五，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次角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字号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为 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小五，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 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 xml:space="preserve"> x2+5=x24 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图题和表题（小五号）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图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val="en-US" w:eastAsia="zh-CN" w:bidi="ar-SA"/>
        </w:rPr>
        <w:t>注</w:t>
      </w: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和表正文（六号）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摄氏度用方正书宋简体     ℃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比号         2:3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标点符号（方正书宋简体半角）: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,  .  ;  :  “  ”  ‘  ’  、 ≤  ≥  &lt;  &gt;  ±  ×  -  ÷  —  ~    +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3.其他书写要求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（1） 计量单位：一律采用国家法定计量单位和符号，如：不能用“大气压”、“kg/cm”、“卡”、“ppm”……等已废除的计量单位。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（2） 文中及图表和公式中容易混淆的字符（希文、英文、罗马字等）、正斜体、大小写、上下标及上下标字母的含义，表示向量及矩阵的字母请在文章后面特别注明。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（3） 文稿标题中尽量不用缩略词，文章中第一次出现时都必须全称，后加括号注明缩略词后面出现时直接用缩略词。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（4） 表格：采用“三线表”。表格上方居中的地方写表序和表题，表题应有自明性，表序采用表1、表2…排序。表注要放在表底，以“注”：起头，缩2格排版。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（5） 插图：图的下方应有中文的图序和图名，图名应有自明性，图序采用图1、图2…排序。工程图、电气图和函数图采用AutoCAD、Adobe Illustrator或 Corel DRAW软件绘制，函数图要表明曲线序号及其注释，坐标轴上要有标值，坐标轴外侧居中处应有标目，注明物理量和单位；照片图要求层次分明，图像逼真，采用数码相机拍照时，宜采用300万像素以上的数码相机。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（6） 参考文献：应尽量选用公开发表地资料，在正文中加以标注，按文中出现的先后顺序编号。按《中国学术期刊（光盘版）检索与评价数据规范，CAJ-CDB/T1－2006》的要求著录文末参考文献。</w:t>
      </w:r>
    </w:p>
    <w:p>
      <w:pPr>
        <w:tabs>
          <w:tab w:val="left" w:pos="426"/>
        </w:tabs>
        <w:spacing w:line="240" w:lineRule="auto"/>
        <w:ind w:firstLine="360" w:firstLineChars="200"/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color w:val="000000"/>
          <w:spacing w:val="0"/>
          <w:sz w:val="18"/>
          <w:szCs w:val="18"/>
          <w:lang w:bidi="ar-SA"/>
        </w:rPr>
        <w:t>文献类型及其标识为：专著 [M]；论文集 [C]；论文集析出文献 [A]；学位论文 [D]；报告 [R]；期刊文章 [J]；报纸文章 [N]；标准 [S]；专利 [P]；可公开的政府行政部门编号文件、行业和大公司的技术规范或工作手册 [Z]；数据库 [DB]；计算机程序 [CP]；电子公告 [EB]。</w:t>
      </w: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  <w:r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  <w:t>参考文献著录格式：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连续出版物（期刊杂志）：[序号]作者(多位作者的最多列3位，后面省略的用“等”表示).论文题目[J].刊名，年，卷(期)：起始页码-终止页码.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专著：[序号]作者.书名[M].出版地：出版者，出版年.起始页码-终止页码.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译著：[序号]作者.书名[M].译者.出版地：出版者，出版年.起始页码-终止页码.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论文集：[序号]作者.论文题目[A].编者.论文集名称[C].出版地：出版者，出版年.起始-终止页码.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学位论文：[序号]作者.论文题目[D].所在城市：保存单位，年份.起始页码-终止页码.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专利：[序号]申请者.专利名[P].国名及专利号，发布日期.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技术标准：[序号]技术标准代号.技术标准名称[S].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技术报告：[序号]作者.报告题目[R].报告代码及编号，地名：责任单位，年份.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报纸文章：[序号]作者.文题[N].报纸名，出版日期(版次).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在线文献(电子公告)：[序号]作者.文题[EB/OL].http://…，日期.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光盘文献(数据库)：[序号]作者. 文献题名[DB/CD].出版地：出版者，出版日期.</w:t>
      </w:r>
    </w:p>
    <w:p>
      <w:pPr>
        <w:spacing w:line="240" w:lineRule="auto"/>
        <w:ind w:firstLine="360" w:firstLineChars="200"/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18"/>
          <w:lang w:bidi="ar-SA"/>
        </w:rPr>
        <w:t>可公开的政府行政部门编号文件、行业和大公司的技术规范或工作手册：[序号]单位.文件资料题目[Z].出版地：出版者，出版年.</w:t>
      </w: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</w:p>
    <w:p>
      <w:pPr>
        <w:spacing w:line="240" w:lineRule="auto"/>
        <w:ind w:firstLine="0" w:firstLineChars="0"/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</w:pPr>
      <w:r>
        <w:rPr>
          <w:rFonts w:hint="eastAsia" w:ascii="宋体" w:hAnsi="Calibri" w:eastAsia="宋体" w:cs="Times New Roman"/>
          <w:b/>
          <w:spacing w:val="0"/>
          <w:sz w:val="18"/>
          <w:szCs w:val="18"/>
          <w:lang w:bidi="ar-SA"/>
        </w:rPr>
        <w:t>参考文献著录示例：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[1] 金显贺, 王昌长, 王忠东, 等. 一种用于在线检测局部放电的数字滤波技术[J]. 清华大学学报(自然科学报), 1993, 33(4): 62-67.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[2] 刘国钧, 陈绍业. 图书目录[M]. 北京: 高等教育出版社, 1957.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[3] 张筑生. 微分半动力系统的不变集[D]. 北京: 北京大学数学系数学研究所，1983.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[4] 冯西桥. 核反应堆压力管道与压力容器的LBB分析[R]. 北京: 清华大学核能技术设计研究院, 1997.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 xml:space="preserve">[6] 钟文发. 非线规划在可燃毒物配置中的应用[A]. 赵  玮.运筹学的理论与应用-中国运筹学会第五届大会论文集[C].西安: 西安电子科技大学出版社, 1996 .468-471. 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[7] GB/T 16159-1996, 汉语拼音正词法基本规则[S].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[8] 姜锡洲. 一种温热外敷药制备方案[P]. 中国专利: 881056073, 1989-07-26.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[9] 南京南瑞继保电气有限公司.MUX64型继电保护光纤通道接口装置技术说明书[Z].南京:南京南瑞继保电气有限公司,2000.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[10] 谢希德.创造学习的思路[N]．人民日报，1998-12-25(10)．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[11] 王明亮．中国学术期刊标准化数据库系统工程[EB/OL]．http://www.cajcd.cn/pub/wml.txt/980810-2.html,1998-08-16/1998-10-04．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</w:pPr>
      <w:r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t>[12] 万锦.中国大学学报论文文摘（1983-1993）英文版[DB/CD].北京：中国大百科全书出版社，1996.</w:t>
      </w:r>
    </w:p>
    <w:p>
      <w:pPr>
        <w:spacing w:line="240" w:lineRule="auto"/>
        <w:ind w:left="359" w:hanging="360" w:hangingChars="200"/>
        <w:rPr>
          <w:rFonts w:hint="eastAsia" w:ascii="Calibri" w:hAnsi="Calibri" w:eastAsia="宋体" w:cs="Times New Roman"/>
          <w:spacing w:val="0"/>
          <w:sz w:val="18"/>
          <w:szCs w:val="24"/>
          <w:lang w:bidi="ar-SA"/>
        </w:rPr>
        <w:sectPr>
          <w:type w:val="continuous"/>
          <w:pgSz w:w="11906" w:h="16838"/>
          <w:pgMar w:top="1814" w:right="1134" w:bottom="1134" w:left="1134" w:header="851" w:footer="992" w:gutter="0"/>
          <w:pgNumType w:fmt="decimal"/>
          <w:cols w:equalWidth="0" w:num="2">
            <w:col w:w="4606" w:space="425"/>
            <w:col w:w="4606"/>
          </w:cols>
          <w:docGrid w:type="lines" w:linePitch="318" w:charSpace="88582"/>
        </w:sectPr>
      </w:pPr>
    </w:p>
    <w:p>
      <w:pPr>
        <w:spacing w:line="0" w:lineRule="atLeast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tbl>
      <w:tblPr>
        <w:tblStyle w:val="9"/>
        <w:tblpPr w:leftFromText="180" w:rightFromText="180" w:tblpXSpec="center" w:tblpYSpec="bottom"/>
        <w:tblOverlap w:val="never"/>
        <w:tblW w:w="8843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8"/>
        <w:gridCol w:w="367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方正仿宋_GBK" w:hAnsi="方正仿宋_GBK" w:eastAsia="方正仿宋_GBK"/>
                <w:w w:val="100"/>
                <w:sz w:val="28"/>
                <w:lang w:eastAsia="zh-CN"/>
              </w:rPr>
              <w:t>重庆市电机工程学会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28"/>
                <w:lang w:eastAsia="zh-CN"/>
              </w:rPr>
              <w:t>2021年12月30日</w:t>
            </w:r>
            <w:r>
              <w:rPr>
                <w:rFonts w:hint="eastAsia" w:ascii="方正仿宋_GBK" w:hAnsi="方正仿宋_GBK" w:eastAsia="方正仿宋_GBK"/>
                <w:sz w:val="28"/>
              </w:rPr>
              <w:t>印发</w:t>
            </w:r>
            <w:r>
              <w:rPr>
                <w:rFonts w:hint="eastAsia" w:ascii="方正仿宋_GBK" w:hAnsi="方正仿宋_GBK" w:eastAsia="方正仿宋_GBK"/>
                <w:sz w:val="28"/>
                <w:lang w:eastAsia="zh-CN"/>
              </w:rPr>
              <w:t>　</w:t>
            </w:r>
          </w:p>
        </w:tc>
      </w:tr>
    </w:tbl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747"/>
        <w:tab w:val="clear" w:pos="8306"/>
      </w:tabs>
      <w:spacing w:before="160"/>
      <w:ind w:right="360" w:firstLine="360"/>
      <w:rPr>
        <w:rFonts w:hint="eastAsia" w:ascii="宋体" w:hAnsi="宋体"/>
        <w:sz w:val="24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-133985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ind w:left="0" w:leftChars="0" w:right="11" w:firstLine="0" w:firstLineChars="0"/>
                            <w:jc w:val="right"/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楷体_GB2312" w:eastAsia="楷体_GB2312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stR0vVAAAACAEAAA8A&#10;AAAAAAAAAQAgAAAAIgAAAGRycy9kb3ducmV2LnhtbFBLAQIUABQAAAAIAIdO4kCvPtoQGgIAACE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left="0" w:leftChars="0" w:right="11" w:firstLine="0" w:firstLineChars="0"/>
                      <w:jc w:val="right"/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="楷体_GB2312" w:eastAsia="楷体_GB2312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auto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22A53"/>
    <w:rsid w:val="0CED25A8"/>
    <w:rsid w:val="0E5476B2"/>
    <w:rsid w:val="0E6A2CF7"/>
    <w:rsid w:val="0E7B3617"/>
    <w:rsid w:val="13F8166C"/>
    <w:rsid w:val="17F86BE4"/>
    <w:rsid w:val="1D963D2A"/>
    <w:rsid w:val="1DDE48F3"/>
    <w:rsid w:val="1EB1455B"/>
    <w:rsid w:val="1F08254A"/>
    <w:rsid w:val="23784505"/>
    <w:rsid w:val="258924EF"/>
    <w:rsid w:val="27DA5251"/>
    <w:rsid w:val="2BE8220F"/>
    <w:rsid w:val="2D4357BB"/>
    <w:rsid w:val="2E340CC0"/>
    <w:rsid w:val="314526B5"/>
    <w:rsid w:val="33A832B0"/>
    <w:rsid w:val="357D684B"/>
    <w:rsid w:val="37B6509D"/>
    <w:rsid w:val="393E2C1B"/>
    <w:rsid w:val="3BAF2087"/>
    <w:rsid w:val="3C7357D6"/>
    <w:rsid w:val="3D0A7BCE"/>
    <w:rsid w:val="3FE615EB"/>
    <w:rsid w:val="404726AB"/>
    <w:rsid w:val="4C9B5815"/>
    <w:rsid w:val="4F1C6B27"/>
    <w:rsid w:val="508D634E"/>
    <w:rsid w:val="55EE7EF9"/>
    <w:rsid w:val="56BF5F5B"/>
    <w:rsid w:val="581E31E5"/>
    <w:rsid w:val="59336EC3"/>
    <w:rsid w:val="59FB5001"/>
    <w:rsid w:val="5A406768"/>
    <w:rsid w:val="5ECC4CA1"/>
    <w:rsid w:val="5FA75B98"/>
    <w:rsid w:val="61CF767F"/>
    <w:rsid w:val="64313FA7"/>
    <w:rsid w:val="653E4F66"/>
    <w:rsid w:val="662C2C32"/>
    <w:rsid w:val="686836B0"/>
    <w:rsid w:val="6D660E43"/>
    <w:rsid w:val="73FD3922"/>
    <w:rsid w:val="778F01D1"/>
    <w:rsid w:val="7ACA16A1"/>
    <w:rsid w:val="7D485340"/>
    <w:rsid w:val="7E2F1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方正黑体_GBK" w:hAnsi="方正黑体_GBK" w:eastAsia="方正黑体_GBK" w:cs="Times New Roman"/>
      <w:szCs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K" w:hAnsi="方正仿宋_GBK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样式2"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3">
    <w:name w:val="15"/>
    <w:basedOn w:val="10"/>
    <w:uiPriority w:val="0"/>
    <w:rPr>
      <w:rFonts w:hint="default" w:ascii="Calibri" w:hAnsi="Calibri" w:cs="Calibri"/>
    </w:rPr>
  </w:style>
  <w:style w:type="character" w:customStyle="1" w:styleId="14">
    <w:name w:val="10"/>
    <w:basedOn w:val="10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2020-10-28T09:24:00Z</dcterms:created>
  <dc:creator>季巧宇</dc:creator>
  <cp:lastModifiedBy>Administrator</cp:lastModifiedBy>
  <cp:lastPrinted>2021-12-30T08:08:00Z</cp:lastPrinted>
  <dcterms:modified xsi:type="dcterms:W3CDTF">2021-12-30T08:32:04Z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